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6E" w:rsidRPr="008E4439" w:rsidRDefault="0017546E" w:rsidP="0017546E">
      <w:pPr>
        <w:autoSpaceDE w:val="0"/>
        <w:autoSpaceDN w:val="0"/>
        <w:adjustRightInd w:val="0"/>
        <w:spacing w:after="0" w:line="240" w:lineRule="auto"/>
        <w:jc w:val="center"/>
        <w:rPr>
          <w:rFonts w:ascii="Verdana" w:hAnsi="Verdana" w:cs="Arial"/>
          <w:b/>
          <w:bCs/>
          <w:sz w:val="18"/>
          <w:szCs w:val="18"/>
        </w:rPr>
      </w:pPr>
      <w:r w:rsidRPr="008E4439">
        <w:rPr>
          <w:rFonts w:ascii="Verdana" w:hAnsi="Verdana" w:cs="Arial"/>
          <w:b/>
          <w:bCs/>
          <w:sz w:val="18"/>
          <w:szCs w:val="18"/>
        </w:rPr>
        <w:t>RUNNING ACCOUNT AUTHORISATION</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 xml:space="preserve">M/s </w:t>
      </w:r>
      <w:r w:rsidR="00245B33">
        <w:rPr>
          <w:rFonts w:ascii="Verdana" w:hAnsi="Verdana" w:cs="Arial"/>
          <w:sz w:val="18"/>
          <w:szCs w:val="18"/>
        </w:rPr>
        <w:t>Dita</w:t>
      </w:r>
      <w:r w:rsidRPr="008E4439">
        <w:rPr>
          <w:rFonts w:ascii="Verdana" w:hAnsi="Verdana" w:cs="Arial"/>
          <w:sz w:val="18"/>
          <w:szCs w:val="18"/>
        </w:rPr>
        <w:t xml:space="preserve"> Comtrade Limited.</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 xml:space="preserve">A-28, </w:t>
      </w:r>
      <w:proofErr w:type="spellStart"/>
      <w:proofErr w:type="gramStart"/>
      <w:r w:rsidRPr="008E4439">
        <w:rPr>
          <w:rFonts w:ascii="Verdana" w:hAnsi="Verdana" w:cs="Arial"/>
          <w:sz w:val="18"/>
          <w:szCs w:val="18"/>
        </w:rPr>
        <w:t>Ist</w:t>
      </w:r>
      <w:bookmarkStart w:id="0" w:name="_GoBack"/>
      <w:bookmarkEnd w:id="0"/>
      <w:proofErr w:type="spellEnd"/>
      <w:proofErr w:type="gramEnd"/>
      <w:r w:rsidRPr="008E4439">
        <w:rPr>
          <w:rFonts w:ascii="Verdana" w:hAnsi="Verdana" w:cs="Arial"/>
          <w:sz w:val="18"/>
          <w:szCs w:val="18"/>
        </w:rPr>
        <w:t xml:space="preserve"> Floor,</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Jhilmil Industrial Area,</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Delhi-110095</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I/We am/are dealing through you as a client in Commodity Market at NCDEX / MCX and in order to</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roofErr w:type="gramStart"/>
      <w:r w:rsidRPr="008E4439">
        <w:rPr>
          <w:rFonts w:ascii="Verdana" w:hAnsi="Verdana" w:cs="Arial"/>
          <w:sz w:val="18"/>
          <w:szCs w:val="18"/>
        </w:rPr>
        <w:t>facilitate</w:t>
      </w:r>
      <w:proofErr w:type="gramEnd"/>
      <w:r w:rsidRPr="008E4439">
        <w:rPr>
          <w:rFonts w:ascii="Verdana" w:hAnsi="Verdana" w:cs="Arial"/>
          <w:sz w:val="18"/>
          <w:szCs w:val="18"/>
        </w:rPr>
        <w:t xml:space="preserve"> ease of operations and upfront requirement of margin for trade. I/We authorize you as</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roofErr w:type="gramStart"/>
      <w:r w:rsidRPr="008E4439">
        <w:rPr>
          <w:rFonts w:ascii="Verdana" w:hAnsi="Verdana" w:cs="Arial"/>
          <w:sz w:val="18"/>
          <w:szCs w:val="18"/>
        </w:rPr>
        <w:t>under</w:t>
      </w:r>
      <w:proofErr w:type="gramEnd"/>
      <w:r w:rsidRPr="008E4439">
        <w:rPr>
          <w:rFonts w:ascii="Verdana" w:hAnsi="Verdana" w:cs="Arial"/>
          <w:sz w:val="18"/>
          <w:szCs w:val="18"/>
        </w:rPr>
        <w:t>:</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pStyle w:val="ListParagraph"/>
        <w:numPr>
          <w:ilvl w:val="0"/>
          <w:numId w:val="1"/>
        </w:num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 xml:space="preserve">I/We request you to maintain running balance in my account &amp; retain the credit balance in any of my/our account and to use the unused funds towards my/our margin/pay-in/other future obligation(s) at any segment(s) of any or all the Exchange(s)/Clearing corporation unless I/We instruct you otherwise. </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pStyle w:val="ListParagraph"/>
        <w:numPr>
          <w:ilvl w:val="0"/>
          <w:numId w:val="1"/>
        </w:num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 xml:space="preserve">I/We request you to retain securities with you for my/our margin/pay-in/other future obligation(s) at any segment(s) of any or all the Exchange(s)/Clearing </w:t>
      </w:r>
      <w:proofErr w:type="gramStart"/>
      <w:r w:rsidRPr="008E4439">
        <w:rPr>
          <w:rFonts w:ascii="Verdana" w:hAnsi="Verdana" w:cs="Arial"/>
          <w:sz w:val="18"/>
          <w:szCs w:val="18"/>
        </w:rPr>
        <w:t>corporation</w:t>
      </w:r>
      <w:proofErr w:type="gramEnd"/>
      <w:r w:rsidRPr="008E4439">
        <w:rPr>
          <w:rFonts w:ascii="Verdana" w:hAnsi="Verdana" w:cs="Arial"/>
          <w:sz w:val="18"/>
          <w:szCs w:val="18"/>
        </w:rPr>
        <w:t xml:space="preserve">, unless I/We instruct you to transfer the same to my/our account. </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pStyle w:val="ListParagraph"/>
        <w:numPr>
          <w:ilvl w:val="0"/>
          <w:numId w:val="1"/>
        </w:num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 xml:space="preserve">I/We request you to settle my/our funds and securities account Once in every calendar Quarter (90 Days.) </w:t>
      </w:r>
      <w:r w:rsidRPr="008E4439">
        <w:rPr>
          <w:rFonts w:ascii="Verdana" w:hAnsi="Verdana" w:cs="Times New Roman"/>
          <w:b/>
          <w:sz w:val="18"/>
          <w:szCs w:val="18"/>
        </w:rPr>
        <w:fldChar w:fldCharType="begin">
          <w:ffData>
            <w:name w:val="Check1"/>
            <w:enabled/>
            <w:calcOnExit w:val="0"/>
            <w:checkBox>
              <w:sizeAuto/>
              <w:default w:val="0"/>
            </w:checkBox>
          </w:ffData>
        </w:fldChar>
      </w:r>
      <w:r w:rsidRPr="008E4439">
        <w:rPr>
          <w:rFonts w:ascii="Verdana" w:hAnsi="Verdana" w:cs="Times New Roman"/>
          <w:b/>
          <w:sz w:val="18"/>
          <w:szCs w:val="18"/>
        </w:rPr>
        <w:instrText xml:space="preserve"> FORMCHECKBOX </w:instrText>
      </w:r>
      <w:r w:rsidR="00D55135">
        <w:rPr>
          <w:rFonts w:ascii="Verdana" w:hAnsi="Verdana" w:cs="Times New Roman"/>
          <w:b/>
          <w:sz w:val="18"/>
          <w:szCs w:val="18"/>
        </w:rPr>
      </w:r>
      <w:r w:rsidR="00D55135">
        <w:rPr>
          <w:rFonts w:ascii="Verdana" w:hAnsi="Verdana" w:cs="Times New Roman"/>
          <w:b/>
          <w:sz w:val="18"/>
          <w:szCs w:val="18"/>
        </w:rPr>
        <w:fldChar w:fldCharType="separate"/>
      </w:r>
      <w:r w:rsidRPr="008E4439">
        <w:rPr>
          <w:rFonts w:ascii="Verdana" w:hAnsi="Verdana" w:cs="Times New Roman"/>
          <w:b/>
          <w:sz w:val="18"/>
          <w:szCs w:val="18"/>
        </w:rPr>
        <w:fldChar w:fldCharType="end"/>
      </w:r>
      <w:r w:rsidRPr="008E4439">
        <w:rPr>
          <w:rFonts w:ascii="Verdana" w:hAnsi="Verdana" w:cs="Times New Roman"/>
          <w:b/>
          <w:sz w:val="18"/>
          <w:szCs w:val="18"/>
        </w:rPr>
        <w:t xml:space="preserve"> </w:t>
      </w:r>
      <w:r w:rsidRPr="008E4439">
        <w:rPr>
          <w:rFonts w:ascii="Verdana" w:hAnsi="Verdana" w:cs="Arial"/>
          <w:sz w:val="18"/>
          <w:szCs w:val="18"/>
        </w:rPr>
        <w:t>or Once in a calendar Month (30 Days)</w:t>
      </w:r>
      <w:r w:rsidR="00762997" w:rsidRPr="008E4439">
        <w:rPr>
          <w:rFonts w:ascii="Verdana" w:hAnsi="Verdana" w:cs="Times New Roman"/>
          <w:b/>
          <w:sz w:val="18"/>
          <w:szCs w:val="18"/>
        </w:rPr>
        <w:t xml:space="preserve"> </w:t>
      </w:r>
      <w:r w:rsidR="00762997" w:rsidRPr="008E4439">
        <w:rPr>
          <w:rFonts w:ascii="Verdana" w:hAnsi="Verdana" w:cs="Times New Roman"/>
          <w:b/>
          <w:sz w:val="18"/>
          <w:szCs w:val="18"/>
        </w:rPr>
        <w:fldChar w:fldCharType="begin">
          <w:ffData>
            <w:name w:val="Check1"/>
            <w:enabled/>
            <w:calcOnExit w:val="0"/>
            <w:checkBox>
              <w:sizeAuto/>
              <w:default w:val="0"/>
            </w:checkBox>
          </w:ffData>
        </w:fldChar>
      </w:r>
      <w:r w:rsidR="00762997" w:rsidRPr="008E4439">
        <w:rPr>
          <w:rFonts w:ascii="Verdana" w:hAnsi="Verdana" w:cs="Times New Roman"/>
          <w:b/>
          <w:sz w:val="18"/>
          <w:szCs w:val="18"/>
        </w:rPr>
        <w:instrText xml:space="preserve"> FORMCHECKBOX </w:instrText>
      </w:r>
      <w:r w:rsidR="00D55135">
        <w:rPr>
          <w:rFonts w:ascii="Verdana" w:hAnsi="Verdana" w:cs="Times New Roman"/>
          <w:b/>
          <w:sz w:val="18"/>
          <w:szCs w:val="18"/>
        </w:rPr>
      </w:r>
      <w:r w:rsidR="00D55135">
        <w:rPr>
          <w:rFonts w:ascii="Verdana" w:hAnsi="Verdana" w:cs="Times New Roman"/>
          <w:b/>
          <w:sz w:val="18"/>
          <w:szCs w:val="18"/>
        </w:rPr>
        <w:fldChar w:fldCharType="separate"/>
      </w:r>
      <w:r w:rsidR="00762997" w:rsidRPr="008E4439">
        <w:rPr>
          <w:rFonts w:ascii="Verdana" w:hAnsi="Verdana" w:cs="Times New Roman"/>
          <w:b/>
          <w:sz w:val="18"/>
          <w:szCs w:val="18"/>
        </w:rPr>
        <w:fldChar w:fldCharType="end"/>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pStyle w:val="ListParagraph"/>
        <w:numPr>
          <w:ilvl w:val="0"/>
          <w:numId w:val="1"/>
        </w:num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 xml:space="preserve">In case I/We have an outstanding obligation on the settlement date, you may retain the requisite securities/funds towards such obligations. Further, to meet obligations of next five trading days you may also retain additional margin at the rate time to time prescribed by the exchange. </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pStyle w:val="ListParagraph"/>
        <w:numPr>
          <w:ilvl w:val="0"/>
          <w:numId w:val="1"/>
        </w:num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Additionally, you may retain an amount of up to Rs 50,000/- (net amount across segment and across stock exchanges). In other words, in case amount payable on settlement after retaining margin amount as mentioned above is below Rs. 50,000/-, you may retain the same.</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pStyle w:val="ListParagraph"/>
        <w:numPr>
          <w:ilvl w:val="0"/>
          <w:numId w:val="1"/>
        </w:num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I/We confirm you that I/We will bring to your notice any dispute arising from the statement of account or settlement so made in writing upon receipt of funds/securities or statement of account or statement related to it, as the case may be at your registered office.</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pStyle w:val="ListParagraph"/>
        <w:numPr>
          <w:ilvl w:val="0"/>
          <w:numId w:val="1"/>
        </w:num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I/We confirm you that I/We can revoke the above mentioned authority at any time.</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Thanking you</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Yours faithfully,</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Signature: ...................................................</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Name of Client: _______________________________</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r w:rsidRPr="008E4439">
        <w:rPr>
          <w:rFonts w:ascii="Verdana" w:hAnsi="Verdana" w:cs="Arial"/>
          <w:sz w:val="18"/>
          <w:szCs w:val="18"/>
        </w:rPr>
        <w:t>Client Code: _________________________________</w:t>
      </w: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17546E" w:rsidRPr="008E4439" w:rsidRDefault="0017546E" w:rsidP="0017546E">
      <w:pPr>
        <w:autoSpaceDE w:val="0"/>
        <w:autoSpaceDN w:val="0"/>
        <w:adjustRightInd w:val="0"/>
        <w:spacing w:after="0" w:line="240" w:lineRule="auto"/>
        <w:jc w:val="both"/>
        <w:rPr>
          <w:rFonts w:ascii="Verdana" w:hAnsi="Verdana" w:cs="Arial"/>
          <w:sz w:val="18"/>
          <w:szCs w:val="18"/>
        </w:rPr>
      </w:pP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560560" w:rsidP="00560560">
      <w:pPr>
        <w:tabs>
          <w:tab w:val="left" w:pos="2130"/>
        </w:tabs>
        <w:autoSpaceDE w:val="0"/>
        <w:autoSpaceDN w:val="0"/>
        <w:adjustRightInd w:val="0"/>
        <w:spacing w:after="0" w:line="240" w:lineRule="auto"/>
        <w:jc w:val="both"/>
        <w:rPr>
          <w:rFonts w:ascii="Verdana" w:hAnsi="Verdana" w:cs="Arial"/>
          <w:sz w:val="18"/>
          <w:szCs w:val="18"/>
        </w:rPr>
      </w:pPr>
      <w:r>
        <w:rPr>
          <w:rFonts w:ascii="Verdana" w:hAnsi="Verdana" w:cs="Arial"/>
          <w:sz w:val="18"/>
          <w:szCs w:val="18"/>
        </w:rPr>
        <w:tab/>
      </w: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8E4439" w:rsidP="0017546E">
      <w:pPr>
        <w:autoSpaceDE w:val="0"/>
        <w:autoSpaceDN w:val="0"/>
        <w:adjustRightInd w:val="0"/>
        <w:spacing w:after="0" w:line="240" w:lineRule="auto"/>
        <w:jc w:val="both"/>
        <w:rPr>
          <w:rFonts w:ascii="Verdana" w:hAnsi="Verdana" w:cs="Arial"/>
          <w:sz w:val="18"/>
          <w:szCs w:val="18"/>
        </w:rPr>
      </w:pPr>
    </w:p>
    <w:p w:rsidR="008E4439" w:rsidRDefault="008E4439" w:rsidP="008E4439">
      <w:pPr>
        <w:jc w:val="center"/>
        <w:rPr>
          <w:rFonts w:ascii="Verdana" w:hAnsi="Verdana"/>
          <w:b/>
          <w:sz w:val="18"/>
          <w:szCs w:val="18"/>
        </w:rPr>
      </w:pPr>
    </w:p>
    <w:p w:rsidR="0067734C" w:rsidRDefault="0067734C" w:rsidP="008E4439">
      <w:pPr>
        <w:jc w:val="center"/>
        <w:rPr>
          <w:rFonts w:ascii="Verdana" w:hAnsi="Verdana"/>
          <w:b/>
          <w:sz w:val="18"/>
          <w:szCs w:val="18"/>
        </w:rPr>
      </w:pPr>
    </w:p>
    <w:p w:rsidR="00477552" w:rsidRPr="008E4439" w:rsidRDefault="00477552" w:rsidP="008E4439">
      <w:pPr>
        <w:jc w:val="center"/>
        <w:rPr>
          <w:rFonts w:ascii="Verdana" w:hAnsi="Verdana"/>
          <w:b/>
          <w:sz w:val="18"/>
          <w:szCs w:val="18"/>
        </w:rPr>
      </w:pPr>
      <w:r w:rsidRPr="008E4439">
        <w:rPr>
          <w:rFonts w:ascii="Verdana" w:hAnsi="Verdana"/>
          <w:b/>
          <w:sz w:val="18"/>
          <w:szCs w:val="18"/>
        </w:rPr>
        <w:lastRenderedPageBreak/>
        <w:t>Annexure</w:t>
      </w:r>
    </w:p>
    <w:p w:rsidR="00477552" w:rsidRPr="008E4439" w:rsidRDefault="00477552" w:rsidP="00477552">
      <w:pPr>
        <w:jc w:val="center"/>
        <w:rPr>
          <w:rFonts w:ascii="Verdana" w:hAnsi="Verdana"/>
          <w:b/>
          <w:sz w:val="18"/>
          <w:szCs w:val="18"/>
        </w:rPr>
      </w:pPr>
      <w:r w:rsidRPr="008E4439">
        <w:rPr>
          <w:rFonts w:ascii="Verdana" w:hAnsi="Verdana"/>
          <w:b/>
          <w:sz w:val="18"/>
          <w:szCs w:val="18"/>
        </w:rPr>
        <w:t>Additional Risk Disclosure documents for Options Trading</w:t>
      </w:r>
    </w:p>
    <w:p w:rsidR="00477552" w:rsidRPr="008E4439" w:rsidRDefault="00477552" w:rsidP="00477552">
      <w:pPr>
        <w:jc w:val="both"/>
        <w:rPr>
          <w:rFonts w:ascii="Verdana" w:hAnsi="Verdana"/>
          <w:b/>
          <w:sz w:val="18"/>
          <w:szCs w:val="18"/>
        </w:rPr>
      </w:pPr>
      <w:r w:rsidRPr="008E4439">
        <w:rPr>
          <w:rFonts w:ascii="Verdana" w:hAnsi="Verdana"/>
          <w:b/>
          <w:sz w:val="18"/>
          <w:szCs w:val="18"/>
        </w:rPr>
        <w:t>Risk of Option holders:</w:t>
      </w:r>
    </w:p>
    <w:p w:rsidR="00477552" w:rsidRPr="008E4439" w:rsidRDefault="00477552" w:rsidP="00477552">
      <w:pPr>
        <w:pStyle w:val="ListParagraph"/>
        <w:numPr>
          <w:ilvl w:val="0"/>
          <w:numId w:val="2"/>
        </w:numPr>
        <w:jc w:val="both"/>
        <w:rPr>
          <w:rFonts w:ascii="Verdana" w:hAnsi="Verdana"/>
          <w:sz w:val="18"/>
          <w:szCs w:val="18"/>
        </w:rPr>
      </w:pPr>
      <w:r w:rsidRPr="008E4439">
        <w:rPr>
          <w:rFonts w:ascii="Verdana" w:hAnsi="Verdana"/>
          <w:sz w:val="18"/>
          <w:szCs w:val="18"/>
        </w:rPr>
        <w:t xml:space="preserve">An option holder runs the risk of losing the entire amount paid for the option in a relatively short period of time. This risk reflects the nature of an option as a wasting asset which becomes worthless when it expires. An option holder who neither sells his option in the secondary market nor exercises it prior to its expiration will necessarily lose his entire investment in the option. If the price of the underlying does not change in the anticipated direction before the option expires, to an extent sufficient to cover the cost of the option, the investor may lose all or a significant part of his investment in the option. </w:t>
      </w:r>
    </w:p>
    <w:p w:rsidR="00477552" w:rsidRPr="008E4439" w:rsidRDefault="00477552" w:rsidP="00477552">
      <w:pPr>
        <w:pStyle w:val="ListParagraph"/>
        <w:numPr>
          <w:ilvl w:val="0"/>
          <w:numId w:val="2"/>
        </w:numPr>
        <w:jc w:val="both"/>
        <w:rPr>
          <w:rFonts w:ascii="Verdana" w:hAnsi="Verdana"/>
          <w:sz w:val="18"/>
          <w:szCs w:val="18"/>
        </w:rPr>
      </w:pPr>
      <w:r w:rsidRPr="008E4439">
        <w:rPr>
          <w:rFonts w:ascii="Verdana" w:hAnsi="Verdana"/>
          <w:sz w:val="18"/>
          <w:szCs w:val="18"/>
        </w:rPr>
        <w:t>The Exchanges may impose exercise restrictions and have absolute authority to restrict the exercise of options at certain times in specified circumstances.</w:t>
      </w:r>
    </w:p>
    <w:p w:rsidR="00477552" w:rsidRPr="008E4439" w:rsidRDefault="00477552" w:rsidP="00477552">
      <w:pPr>
        <w:jc w:val="both"/>
        <w:rPr>
          <w:rFonts w:ascii="Verdana" w:hAnsi="Verdana"/>
          <w:sz w:val="18"/>
          <w:szCs w:val="18"/>
        </w:rPr>
      </w:pPr>
      <w:r w:rsidRPr="008E4439">
        <w:rPr>
          <w:rFonts w:ascii="Verdana" w:hAnsi="Verdana"/>
          <w:sz w:val="18"/>
          <w:szCs w:val="18"/>
        </w:rPr>
        <w:t xml:space="preserve"> Risks of Option Writers:</w:t>
      </w:r>
    </w:p>
    <w:p w:rsidR="00477552" w:rsidRPr="008E4439" w:rsidRDefault="00477552" w:rsidP="00477552">
      <w:pPr>
        <w:pStyle w:val="ListParagraph"/>
        <w:numPr>
          <w:ilvl w:val="0"/>
          <w:numId w:val="3"/>
        </w:numPr>
        <w:jc w:val="both"/>
        <w:rPr>
          <w:rFonts w:ascii="Verdana" w:hAnsi="Verdana"/>
          <w:sz w:val="18"/>
          <w:szCs w:val="18"/>
        </w:rPr>
      </w:pPr>
      <w:r w:rsidRPr="008E4439">
        <w:rPr>
          <w:rFonts w:ascii="Verdana" w:hAnsi="Verdana"/>
          <w:sz w:val="18"/>
          <w:szCs w:val="18"/>
        </w:rPr>
        <w:t>If the price movement of the underlying is not in the anticipated direction, the option writer runs the risks of losing substantial amount.</w:t>
      </w:r>
    </w:p>
    <w:p w:rsidR="00477552" w:rsidRPr="008E4439" w:rsidRDefault="00477552" w:rsidP="00477552">
      <w:pPr>
        <w:pStyle w:val="ListParagraph"/>
        <w:numPr>
          <w:ilvl w:val="0"/>
          <w:numId w:val="3"/>
        </w:numPr>
        <w:jc w:val="both"/>
        <w:rPr>
          <w:rFonts w:ascii="Verdana" w:hAnsi="Verdana"/>
          <w:sz w:val="18"/>
          <w:szCs w:val="18"/>
        </w:rPr>
      </w:pPr>
      <w:r w:rsidRPr="008E4439">
        <w:rPr>
          <w:rFonts w:ascii="Verdana" w:hAnsi="Verdana"/>
          <w:sz w:val="18"/>
          <w:szCs w:val="18"/>
        </w:rPr>
        <w:t>The risk of being an option writer may be reduced by the purchase of other options on the same underlying interest and thereby assuming a spread position or by acquiring other types of hedging positions in the options markets or other markets. However, even where the writer has assumed a spread or other hedging position, the risks may still be significant. A spread position is not necessarily less risky than a simple 'long' or 'short' position</w:t>
      </w:r>
    </w:p>
    <w:p w:rsidR="00477552" w:rsidRPr="008E4439" w:rsidRDefault="00477552" w:rsidP="00477552">
      <w:pPr>
        <w:pStyle w:val="ListParagraph"/>
        <w:numPr>
          <w:ilvl w:val="0"/>
          <w:numId w:val="3"/>
        </w:numPr>
        <w:jc w:val="both"/>
        <w:rPr>
          <w:rFonts w:ascii="Verdana" w:hAnsi="Verdana"/>
          <w:sz w:val="18"/>
          <w:szCs w:val="18"/>
        </w:rPr>
      </w:pPr>
      <w:r w:rsidRPr="008E4439">
        <w:rPr>
          <w:rFonts w:ascii="Verdana" w:hAnsi="Verdana"/>
          <w:sz w:val="18"/>
          <w:szCs w:val="18"/>
        </w:rPr>
        <w:t>Transactions that involve buying and writing multiple options in combination, or buying or writing options in combination with buying or selling short the underlying interests, present additional risks to investors. Combination transactions, such as option spreads, are more complex than buying or writing a single option. And it should be further noted that, as in any area of investing, a complexity not well understood is, in itself, a risk factor. While this is not to suggest that combination strategies should not be considered, it is advisable, as is the case with all investments in options, to consult with someone who is experienced and knowledgeable with respect to the risks and potential rewards of combination transactions under various market circumstances.</w:t>
      </w: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Pr="008E4439" w:rsidRDefault="00477552" w:rsidP="0017546E">
      <w:pPr>
        <w:autoSpaceDE w:val="0"/>
        <w:autoSpaceDN w:val="0"/>
        <w:adjustRightInd w:val="0"/>
        <w:spacing w:after="0" w:line="240" w:lineRule="auto"/>
        <w:jc w:val="both"/>
        <w:rPr>
          <w:rFonts w:ascii="Verdana" w:hAnsi="Verdana"/>
          <w:sz w:val="18"/>
          <w:szCs w:val="18"/>
        </w:rPr>
      </w:pPr>
    </w:p>
    <w:p w:rsidR="00477552" w:rsidRDefault="00477552" w:rsidP="0017546E">
      <w:pPr>
        <w:autoSpaceDE w:val="0"/>
        <w:autoSpaceDN w:val="0"/>
        <w:adjustRightInd w:val="0"/>
        <w:spacing w:after="0" w:line="240" w:lineRule="auto"/>
        <w:jc w:val="both"/>
        <w:rPr>
          <w:rFonts w:ascii="Verdana" w:hAnsi="Verdana"/>
          <w:sz w:val="18"/>
          <w:szCs w:val="18"/>
        </w:rPr>
      </w:pPr>
    </w:p>
    <w:p w:rsidR="008E4439" w:rsidRDefault="008E4439" w:rsidP="0017546E">
      <w:pPr>
        <w:autoSpaceDE w:val="0"/>
        <w:autoSpaceDN w:val="0"/>
        <w:adjustRightInd w:val="0"/>
        <w:spacing w:after="0" w:line="240" w:lineRule="auto"/>
        <w:jc w:val="both"/>
        <w:rPr>
          <w:rFonts w:ascii="Verdana" w:hAnsi="Verdana"/>
          <w:sz w:val="18"/>
          <w:szCs w:val="18"/>
        </w:rPr>
      </w:pPr>
    </w:p>
    <w:p w:rsidR="008E4439" w:rsidRDefault="008E4439" w:rsidP="0017546E">
      <w:pPr>
        <w:autoSpaceDE w:val="0"/>
        <w:autoSpaceDN w:val="0"/>
        <w:adjustRightInd w:val="0"/>
        <w:spacing w:after="0" w:line="240" w:lineRule="auto"/>
        <w:jc w:val="both"/>
        <w:rPr>
          <w:rFonts w:ascii="Verdana" w:hAnsi="Verdana"/>
          <w:sz w:val="18"/>
          <w:szCs w:val="18"/>
        </w:rPr>
      </w:pPr>
    </w:p>
    <w:p w:rsidR="008E4439" w:rsidRDefault="008E4439" w:rsidP="0017546E">
      <w:pPr>
        <w:autoSpaceDE w:val="0"/>
        <w:autoSpaceDN w:val="0"/>
        <w:adjustRightInd w:val="0"/>
        <w:spacing w:after="0" w:line="240" w:lineRule="auto"/>
        <w:jc w:val="both"/>
        <w:rPr>
          <w:rFonts w:ascii="Verdana" w:hAnsi="Verdana"/>
          <w:sz w:val="18"/>
          <w:szCs w:val="18"/>
        </w:rPr>
      </w:pPr>
    </w:p>
    <w:p w:rsidR="008E4439" w:rsidRDefault="008E4439" w:rsidP="0017546E">
      <w:pPr>
        <w:autoSpaceDE w:val="0"/>
        <w:autoSpaceDN w:val="0"/>
        <w:adjustRightInd w:val="0"/>
        <w:spacing w:after="0" w:line="240" w:lineRule="auto"/>
        <w:jc w:val="both"/>
        <w:rPr>
          <w:rFonts w:ascii="Verdana" w:hAnsi="Verdana"/>
          <w:sz w:val="18"/>
          <w:szCs w:val="18"/>
        </w:rPr>
      </w:pPr>
    </w:p>
    <w:p w:rsidR="008E4439" w:rsidRDefault="008E4439" w:rsidP="0017546E">
      <w:pPr>
        <w:autoSpaceDE w:val="0"/>
        <w:autoSpaceDN w:val="0"/>
        <w:adjustRightInd w:val="0"/>
        <w:spacing w:after="0" w:line="240" w:lineRule="auto"/>
        <w:jc w:val="both"/>
        <w:rPr>
          <w:rFonts w:ascii="Verdana" w:hAnsi="Verdana"/>
          <w:sz w:val="18"/>
          <w:szCs w:val="18"/>
        </w:rPr>
      </w:pPr>
    </w:p>
    <w:p w:rsidR="008E4439" w:rsidRDefault="008E4439" w:rsidP="0017546E">
      <w:pPr>
        <w:autoSpaceDE w:val="0"/>
        <w:autoSpaceDN w:val="0"/>
        <w:adjustRightInd w:val="0"/>
        <w:spacing w:after="0" w:line="240" w:lineRule="auto"/>
        <w:jc w:val="both"/>
        <w:rPr>
          <w:rFonts w:ascii="Verdana" w:hAnsi="Verdana"/>
          <w:sz w:val="18"/>
          <w:szCs w:val="18"/>
        </w:rPr>
      </w:pPr>
    </w:p>
    <w:p w:rsidR="008E4439" w:rsidRDefault="008E4439" w:rsidP="0017546E">
      <w:pPr>
        <w:autoSpaceDE w:val="0"/>
        <w:autoSpaceDN w:val="0"/>
        <w:adjustRightInd w:val="0"/>
        <w:spacing w:after="0" w:line="240" w:lineRule="auto"/>
        <w:jc w:val="both"/>
        <w:rPr>
          <w:rFonts w:ascii="Verdana" w:hAnsi="Verdana"/>
          <w:sz w:val="18"/>
          <w:szCs w:val="18"/>
        </w:rPr>
      </w:pPr>
    </w:p>
    <w:p w:rsidR="008E4439" w:rsidRDefault="008E4439" w:rsidP="0017546E">
      <w:pPr>
        <w:autoSpaceDE w:val="0"/>
        <w:autoSpaceDN w:val="0"/>
        <w:adjustRightInd w:val="0"/>
        <w:spacing w:after="0" w:line="240" w:lineRule="auto"/>
        <w:jc w:val="both"/>
        <w:rPr>
          <w:rFonts w:ascii="Verdana" w:hAnsi="Verdana"/>
          <w:sz w:val="18"/>
          <w:szCs w:val="18"/>
        </w:rPr>
      </w:pPr>
    </w:p>
    <w:p w:rsidR="008E4439" w:rsidRDefault="008E4439" w:rsidP="0017546E">
      <w:pPr>
        <w:autoSpaceDE w:val="0"/>
        <w:autoSpaceDN w:val="0"/>
        <w:adjustRightInd w:val="0"/>
        <w:spacing w:after="0" w:line="240" w:lineRule="auto"/>
        <w:jc w:val="both"/>
        <w:rPr>
          <w:rFonts w:ascii="Verdana" w:hAnsi="Verdana"/>
          <w:sz w:val="18"/>
          <w:szCs w:val="18"/>
        </w:rPr>
      </w:pPr>
    </w:p>
    <w:p w:rsidR="00560560" w:rsidRDefault="00560560" w:rsidP="0017546E">
      <w:pPr>
        <w:autoSpaceDE w:val="0"/>
        <w:autoSpaceDN w:val="0"/>
        <w:adjustRightInd w:val="0"/>
        <w:spacing w:after="0" w:line="240" w:lineRule="auto"/>
        <w:jc w:val="both"/>
        <w:rPr>
          <w:rFonts w:ascii="Verdana" w:hAnsi="Verdana"/>
          <w:sz w:val="18"/>
          <w:szCs w:val="18"/>
        </w:rPr>
      </w:pPr>
    </w:p>
    <w:p w:rsidR="008E4439" w:rsidRPr="00560560" w:rsidRDefault="00560560" w:rsidP="00560560">
      <w:pPr>
        <w:jc w:val="right"/>
        <w:rPr>
          <w:rFonts w:ascii="Verdana" w:hAnsi="Verdana"/>
          <w:sz w:val="18"/>
          <w:szCs w:val="18"/>
        </w:rPr>
      </w:pPr>
      <w:r>
        <w:rPr>
          <w:rFonts w:ascii="Verdana" w:hAnsi="Verdana"/>
          <w:sz w:val="18"/>
          <w:szCs w:val="18"/>
        </w:rPr>
        <w:t>39.</w:t>
      </w:r>
    </w:p>
    <w:sectPr w:rsidR="008E4439" w:rsidRPr="00560560" w:rsidSect="0017546E">
      <w:pgSz w:w="12240" w:h="15840"/>
      <w:pgMar w:top="1440" w:right="1440" w:bottom="70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135" w:rsidRDefault="00D55135" w:rsidP="008E4439">
      <w:pPr>
        <w:spacing w:after="0" w:line="240" w:lineRule="auto"/>
      </w:pPr>
      <w:r>
        <w:separator/>
      </w:r>
    </w:p>
  </w:endnote>
  <w:endnote w:type="continuationSeparator" w:id="0">
    <w:p w:rsidR="00D55135" w:rsidRDefault="00D55135" w:rsidP="008E4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135" w:rsidRDefault="00D55135" w:rsidP="008E4439">
      <w:pPr>
        <w:spacing w:after="0" w:line="240" w:lineRule="auto"/>
      </w:pPr>
      <w:r>
        <w:separator/>
      </w:r>
    </w:p>
  </w:footnote>
  <w:footnote w:type="continuationSeparator" w:id="0">
    <w:p w:rsidR="00D55135" w:rsidRDefault="00D55135" w:rsidP="008E44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D7901"/>
    <w:multiLevelType w:val="hybridMultilevel"/>
    <w:tmpl w:val="F7C0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2146B6"/>
    <w:multiLevelType w:val="hybridMultilevel"/>
    <w:tmpl w:val="FBFC8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9B7BC6"/>
    <w:multiLevelType w:val="hybridMultilevel"/>
    <w:tmpl w:val="72E888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6E"/>
    <w:rsid w:val="0017546E"/>
    <w:rsid w:val="00245B33"/>
    <w:rsid w:val="00373E3C"/>
    <w:rsid w:val="00477552"/>
    <w:rsid w:val="00560560"/>
    <w:rsid w:val="00646231"/>
    <w:rsid w:val="0067734C"/>
    <w:rsid w:val="00762997"/>
    <w:rsid w:val="008E4439"/>
    <w:rsid w:val="00D55135"/>
    <w:rsid w:val="00F90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46E"/>
    <w:pPr>
      <w:ind w:left="720"/>
      <w:contextualSpacing/>
    </w:pPr>
  </w:style>
  <w:style w:type="paragraph" w:styleId="Header">
    <w:name w:val="header"/>
    <w:basedOn w:val="Normal"/>
    <w:link w:val="HeaderChar"/>
    <w:uiPriority w:val="99"/>
    <w:unhideWhenUsed/>
    <w:rsid w:val="008E4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439"/>
  </w:style>
  <w:style w:type="paragraph" w:styleId="Footer">
    <w:name w:val="footer"/>
    <w:basedOn w:val="Normal"/>
    <w:link w:val="FooterChar"/>
    <w:uiPriority w:val="99"/>
    <w:unhideWhenUsed/>
    <w:rsid w:val="008E4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4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46E"/>
    <w:pPr>
      <w:ind w:left="720"/>
      <w:contextualSpacing/>
    </w:pPr>
  </w:style>
  <w:style w:type="paragraph" w:styleId="Header">
    <w:name w:val="header"/>
    <w:basedOn w:val="Normal"/>
    <w:link w:val="HeaderChar"/>
    <w:uiPriority w:val="99"/>
    <w:unhideWhenUsed/>
    <w:rsid w:val="008E44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439"/>
  </w:style>
  <w:style w:type="paragraph" w:styleId="Footer">
    <w:name w:val="footer"/>
    <w:basedOn w:val="Normal"/>
    <w:link w:val="FooterChar"/>
    <w:uiPriority w:val="99"/>
    <w:unhideWhenUsed/>
    <w:rsid w:val="008E44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4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662</Words>
  <Characters>3776</Characters>
  <Application>Microsoft Office Word</Application>
  <DocSecurity>0</DocSecurity>
  <Lines>31</Lines>
  <Paragraphs>8</Paragraphs>
  <ScaleCrop>false</ScaleCrop>
  <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Ankush</dc:creator>
  <cp:lastModifiedBy>Ankush</cp:lastModifiedBy>
  <cp:revision>9</cp:revision>
  <cp:lastPrinted>2019-11-04T12:25:00Z</cp:lastPrinted>
  <dcterms:created xsi:type="dcterms:W3CDTF">2019-10-23T10:20:00Z</dcterms:created>
  <dcterms:modified xsi:type="dcterms:W3CDTF">2019-11-13T10:56:00Z</dcterms:modified>
</cp:coreProperties>
</file>